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281 vom 6. Oktober 1988</w:t>
      </w:r>
    </w:p>
    <w:p>
      <w:r>
        <w:t>Bundesgericht (BGE), 1988-10-06, FR</w:t>
      </w:r>
    </w:p>
    <w:p>
      <w:r>
        <w:rPr>
          <w:b/>
        </w:rPr>
        <w:t xml:space="preserve">Quelle: </w:t>
      </w:r>
      <w:r>
        <w:t>https://mcp.opencaselaw.ch/entscheid/bge_114 IA 281</w:t>
      </w:r>
    </w:p>
    <w:p>
      <w:r>
        <w:t>FR: BGE 114 IA 281 du 6 octobre 1988</w:t>
      </w:r>
    </w:p>
    <w:p>
      <w:r>
        <w:t>IT: BGE 114 IA 281 del 6 ottobre 1988</w:t>
      </w:r>
    </w:p>
    <w:p>
      <w:pPr>
        <w:pStyle w:val="Heading2"/>
      </w:pPr>
      <w:r>
        <w:t>Regeste</w:t>
      </w:r>
    </w:p>
    <w:p>
      <w:r>
        <w:t>Regeste Persönliche Freiheit; Verlängerung der Untersuchungshaft. - Überprüfungsbefugnis des Bundesgerichts (E. 3). - Die Bewilligung zur Verlängerung der Untersuchungshaft, die gestützt auf Art. 61 StPO VD erteilt wird, stellt keine blosse Willenserklärung oder Empfehlung der Aufsichtsbehörde dar, sondern einen eigentlichen Entscheid. Dies hat zur Folge, dass die aus Art. 4 BV abgeleiteten Anforderungen an das Verfahren (rechtliches Gehör, Begründung und Mitteilung des Entscheids) gegenüber dem von der Verlängerung betroffenen Häftling eingehalten werden müssen (Präzisierung der Rechtsprechung; E. 4a, b). Praktische Folgen (E. 4c).</w:t>
      </w:r>
    </w:p>
    <w:p>
      <w:pPr>
        <w:pStyle w:val="Heading2"/>
      </w:pPr>
      <w:r>
        <w:t>Erwägungen</w:t>
      </w:r>
    </w:p>
    <w:p>
      <w:r>
        <w:rPr>
          <w:b/>
        </w:rPr>
        <w:t>E. 3</w:t>
      </w:r>
    </w:p>
    <w:p>
      <w:r>
        <w:t>C'est essentiellement au contenu du droit constitutionnel non écrit à la liberté personnelle que le Tribunal fédéral mesure la constitutionnalité du maintien en détention d'un prévenu, qui BGE 114 Ia 281 S. 283 représente toujours une atteinte grave à ce droit fondamental. Les principes que la Convention européenne des droits de l'homme consacre, notamment à son art. 5, ne sont pris en considération pour l'interprétation et l'application de cette garantie qu'en tant qu'ils la concrétisent ( ATF 108 Ia 66 consid. 2c, 105 Ia 29 consid. 2b). La garantie de la liberté personnelle n'empêche pas l'autorité de procéder à l'incarcération d'un individu ou de le maintenir en détention, à la condition toutefois que cette mesure particulièrement grave repose sur une base légale claire, qu'elle soit ordonnée dans l'intérêt public et qu'elle respecte le principe de la proportionnalité ( ATF 107 Ia 149 consid. 2, ATF 106 Ia 281 consid. 3a et les arrêts cités). La légalité d'une telle mesure privative de liberté doit être appréciée en fonction du droit cantonal; quand celui-ci accorde à l'individu une protection plus large ou plus précise que celle qui est offerte par le droit fédéral, il s'applique en concurrence avec ce dernier ( ATF 104 Ia 300 consid. 2, ATF 101 Ia 49 ). Tel semble être le cas de l'art. 61 du code de procédure pénale vaudois du 12 septembre 1967 (CPP vaud.). Les griefs invoqués dans l'acte de recours doivent donc être examinés au regard du contenu de cette disposition particulière et du droit constitutionnel non écrit de la liberté personnelle. Contrairement à ce que soutient la juridiction intimée, le Tribunal fédéral dispose en l'espèce d'un libre pouvoir pour contrôler si l'interprétation et l'application du droit cantonal sont conformes au droit fondamental en cause; il n'a aucune raison de faire exception ici à ce principe. Il reconnaît toutefois à l'autorité cantonale une grande liberté d'appréciation des faits qu'elle a constatés, n'intervenant à ce propos que si elle a manifestement excédé cette liberté d'appréciation ou en a abusé ( ATF 108 Ia 66 consid. 2a, ATF 107 Ia 140 consid. 4a, ATF 105 Ia 29 consid. 2a, ATF 104 Ia 302 /303 consid. 3c).</w:t>
      </w:r>
    </w:p>
    <w:p>
      <w:r>
        <w:rPr>
          <w:b/>
        </w:rPr>
        <w:t>E. 4</w:t>
      </w:r>
    </w:p>
    <w:p>
      <w:r>
        <w:t>L' art. 61 CPP vaud. a la teneur suivante: "La détention préventive ne peut durer plus de quatorze jours. Toutefois, sur demande motivée du juge, le tribunal d'accusation pourra autoriser une ou plusieurs prolongations, d'un mois chacune au maximum." a) Cet article n'a pas été introduit pour la première fois dans le code du 12 septembre 1967, mais reprend simplement une disposition du code du 3 septembre 1940. L'autorité intimée expose que ce texte a toujours été appliqué de la même manière: le Juge informateur qui conduit l'enquête établit une demande BGE 114 Ia 281 S. 284 d'autorisation de prolonger la détention préventive, qu'il motive brièvement et transmet au Tribunal d'accusation par l'intermédiaire du Juge d'instruction cantonal. Ce magistrat donne son préavis et le Tribunal d'accusation se prononce sur la demande d'autorisation. Ni la demande du Juge informateur, ni le préavis du Juge d'instruction, ni l'autorisation de prolongation ne sont notifiés au prévenu. Le préavis du Juge d'instruction et la décision du Tribunal d'accusation ne paraissent en outre pas être motivés en règle générale, tout au moins lorsqu'ils sont favorables à la demande. Dans le cadre de la procédure qui a abouti à l'arrêt du Tribunal fédéral du 8 août 1988, l'autorité intimée avait soutenu que l'autorisation de prolonger la détention préventive n'était pas une décision pouvant faire l'objet d'un recours de droit public, mais une simple mesure prise dans le cadre de l'exercice du pouvoir de haute surveillance de l'enquête pénale que lui confère l' art. 14 al. 3 CPP vaud. Elle reprend cette argumentation dans son écriture du 30 septembre 1988. b) Aux termes de l'arrêt du Tribunal fédéral du 8 août 1988, l'autorisation de prolonger la détention préventive n'est pas une simple déclaration de volonté, voire une recommandation d'une autorité de surveillance, mais bien un acte de souveraineté qui émane du détenteur de la puissance publique et porte une atteinte indéniable à la situation juridique du prévenu. Il s'agit donc d'une décision. Celle-ci est susceptible d'être attaquée par un recours de droit public au sens de l' art. 84 lettre a OJ puisque, à défaut de son prononcé, la privation de liberté doit prendre fin à l'échéance des délais légaux prévus à l' art. 61 CPP vaud. (cf. ATF 108 Ia 268 consid. 5, ATF 102 Ia 186 consid. 2, ATF 89 I 258 consid. 4, ATF 60 I 369 ). En outre, à moins d'une décision du Tribunal d'accusation autorisant la prolongation de la détention avant l'échéance des délais légaux, cette mesure privative de liberté devient ipso facto illégale et toute autorité constatant l'illégalité de la détention a l'obligation d'élargir aussitôt le prévenu (cf. ATF 109 Ia 322 consid. 3). L'arrêt du 8 août 1988 a enfin souligné que la nature décisionnelle de l'acte par lequel l'autorité compétente prolonge la détention préventive avant son échéance n'est nullement affectée par le droit du prévenu de requérir en tout temps sa mise en liberté. Il en résulte que les exigences procédurales déduites de l' art. 4 Cst. doivent être respectées à l'égard du prévenu dont la détention fait l'objet d'une demande de prolongation. c) Ces considérations - qui se bornent à rappeler les droits élémentaires des parties à une procédure étatique quelconque -ne BGE 114 Ia 281 S. 285 peuvent qu'être reprises dans le présent arrêt, quelle que soit l'opinion qu'en ait l'autorité intimée. Les conséquences pratiques en sont les suivantes: - une prolongation de la détention préventive ne saurait intervenir sans être étayée par une motivation suffisante et expresse. Cette motivation peut être contenue dans la demande de l'autorité inférieure, car l'autorité supérieure qui fait droit à cette demande peut être présumée y avoir adhéré implicitement (cf. ARTHUR HAEFLIGER, Alle Schweizer sind vor dem Gesetze gleich, p. 149); - l'autorisation de prolonger la détention préventive doit être dans tous les cas communiquée au prévenu; - le prévenu doit avoir la possibilité de s'exprimer avant que sa détention ne soit prolongée définitivement. Ce droit à l'audition (rechtliches Gehör) ne commande pas, en principe, la comparution personnelle de l'intéressé. La nature de la décision de prolonger la détention préventive est en effet fondamentalement différente de celle d'arrêter et d'incarcérer initialement le prévenu, pour laquelle la CEDH exige la garantie spéciale de la comparution sans délai devant un juge ou un autre magistrat habilité par la loi a exercer des fonctions judiciaires (art. 5 ch. 3). En général, dans la mesure où le prévenu a en tout temps la possibilité de demander sa mise en liberté, il suffit à la régularité de la procédure de prolongation périodique de la détention que la possibilité soit offerte au prévenu de s'exprimer à ce sujet par écrit, soit dans le cadre d'une procédure de recours auprès d'une autorité ayant une cognition illimitée, soit devant l'autorité de décision elle-même, soit devant l'autorité inférieure qui demande l'autorisation de prolonger la détention (précision de la jurisprudence publiée aux ATF 105 Ia 205 ss). Dans le système vaudois, il devrait ainsi suffire que le Juge informateur communique au prévenu sa demande tendant à obtenir l'autorisation de prolonger la détention préventive en l'invitant à se déterminer à très bref délai sur cette démarche, avec une indication qu'il peut d'emblée renoncer à s'y opposer...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